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rFonts w:ascii="Georgia" w:hAnsi="Georgia"/>
          <w:sz w:val="62"/>
        </w:rPr>
        <w:t>Stackbroker</w:t>
      </w:r>
    </w:p>
    <w:p>
      <w:pPr>
        <w:spacing w:after="180"/>
      </w:pPr>
      <w:r>
        <w:rPr>
          <w:rFonts w:ascii="Georgia" w:hAnsi="Georgia"/>
          <w:sz w:val="36"/>
        </w:rPr>
        <w:t>Purchasing power. For every personal agent.</w:t>
      </w:r>
    </w:p>
    <w:p>
      <w:r>
        <w:rPr>
          <w:b w:val="0"/>
        </w:rPr>
      </w:r>
      <w:r>
        <w:rPr>
          <w:b/>
        </w:rPr>
        <w:t>Investor brief · September 7, 2026 · Public draft</w:t>
      </w:r>
      <w:r>
        <w:rPr>
          <w:b w:val="0"/>
        </w:rPr>
      </w:r>
    </w:p>
    <w:p>
      <w:r>
        <w:rPr>
          <w:b w:val="0"/>
        </w:rPr>
      </w:r>
      <w:r>
        <w:rPr>
          <w:b/>
        </w:rPr>
        <w:t>Thesis.</w:t>
      </w:r>
      <w:r>
        <w:rPr>
          <w:b w:val="0"/>
        </w:rPr>
        <w:t xml:space="preserve"> The consumer-side transaction network for personal agents. Declare a need and flexibility once; opted-in providers offer eligible capacity, with competition for pooled demand planned next; the agent accepts within the owner's authority. Better access and offers, with a verifiable transaction receipt.</w:t>
      </w:r>
    </w:p>
    <w:p>
      <w:r>
        <w:rPr>
          <w:b w:val="0"/>
        </w:rPr>
      </w:r>
      <w:r>
        <w:rPr>
          <w:b/>
        </w:rPr>
        <w:t>Problem.</w:t>
      </w:r>
      <w:r>
        <w:rPr>
          <w:b w:val="0"/>
        </w:rPr>
        <w:t xml:space="preserve"> Businesses optimize pricing while consumers search fragmented availability and negotiate alone. Personal agents need executable offers and reliable fulfillment, not more links. Idle capacity and flexible demand often fail to meet.</w:t>
      </w:r>
    </w:p>
    <w:p>
      <w:r>
        <w:rPr>
          <w:b w:val="0"/>
        </w:rPr>
      </w:r>
      <w:r>
        <w:rPr>
          <w:b/>
        </w:rPr>
        <w:t>Product.</w:t>
      </w:r>
      <w:r>
        <w:rPr>
          <w:b w:val="0"/>
        </w:rPr>
        <w:t xml:space="preserve"> Private consumer mandates → standing requests → eligible offers → provider-confirmed booking → authorized micro-fee and receipt. Value for one consumer first; pooled demand next. No standalone marketplace or consumer subscription.</w:t>
      </w:r>
    </w:p>
    <w:p>
      <w:r>
        <w:rPr>
          <w:b w:val="0"/>
        </w:rPr>
      </w:r>
      <w:r>
        <w:rPr>
          <w:b/>
        </w:rPr>
        <w:t>Why now.</w:t>
      </w:r>
      <w:r>
        <w:rPr>
          <w:b w:val="0"/>
        </w:rPr>
        <w:t xml:space="preserve"> Personal-agent tool distribution, scheduling APIs and machine payments make an interoperable transaction layer feasible. Square, Cal.com and Stripe are documented integration candidates—not signed partners. Build into assistants rather than competing to become one.</w:t>
      </w:r>
    </w:p>
    <w:p>
      <w:r>
        <w:rPr>
          <w:b w:val="0"/>
        </w:rPr>
      </w:r>
      <w:r>
        <w:rPr>
          <w:b/>
        </w:rPr>
        <w:t>First market.</w:t>
      </w:r>
      <w:r>
        <w:rPr>
          <w:b w:val="0"/>
        </w:rPr>
        <w:t xml:space="preserve"> One local appointment market, one supported connector. Salons/barbers/auto detailing are the lower-friction pilot hypothesis. Dental cancellation access is an early practice-led validation track. Household-service negotiation follows; restaurants last.</w:t>
      </w:r>
    </w:p>
    <w:p>
      <w:r>
        <w:rPr>
          <w:b w:val="0"/>
        </w:rPr>
      </w:r>
      <w:r>
        <w:rPr>
          <w:b/>
        </w:rPr>
        <w:t>Distribution &amp; moat.</w:t>
      </w:r>
      <w:r>
        <w:rPr>
          <w:b w:val="0"/>
        </w:rPr>
        <w:t xml:space="preserve"> Seed three opted-in providers and two independent consumer-agent integrations using real waitlist demand. Earn repeat use through better outcomes. The intended moat is permissioned supply, reliable fulfillment and local demand liquidity—not MCP alone.</w:t>
      </w:r>
    </w:p>
    <w:p>
      <w:r>
        <w:rPr>
          <w:b w:val="0"/>
        </w:rPr>
      </w:r>
      <w:r>
        <w:rPr>
          <w:b/>
        </w:rPr>
        <w:t>Economics.</w:t>
      </w:r>
      <w:r>
        <w:rPr>
          <w:b w:val="0"/>
        </w:rPr>
        <w:t xml:space="preserve"> Proposed $0.50 consumer-authorized fee per confirmed booking. Free bounded discovery and failed matching; providers free. No subscriptions, paid ranking or data sales. Reverse fees for provider/system failure. Processing eligibility and net margins remain to be proven.</w:t>
      </w:r>
    </w:p>
    <w:p>
      <w:r>
        <w:rPr>
          <w:b w:val="0"/>
        </w:rPr>
      </w:r>
      <w:r>
        <w:rPr>
          <w:b/>
        </w:rPr>
        <w:t>Scale hypothesis.</w:t>
      </w:r>
      <w:r>
        <w:rPr>
          <w:b w:val="0"/>
        </w:rPr>
        <w:t xml:space="preserve"> 1m monthly transacting consumers × 2 bookings/month × $0.50 × 12 = $12m annual gross fee revenue; 10m = $120m. Scenarios, not TAM, ARR or forecasts.</w:t>
      </w:r>
    </w:p>
    <w:p>
      <w:r>
        <w:rPr>
          <w:b w:val="0"/>
        </w:rPr>
      </w:r>
      <w:r>
        <w:rPr>
          <w:b/>
        </w:rPr>
        <w:t>Evidence &amp; next proof.</w:t>
      </w:r>
      <w:r>
        <w:rPr>
          <w:b w:val="0"/>
        </w:rPr>
        <w:t xml:space="preserve"> Agent tools and pilot enrollment are live. Pre-traction: $0 verified customer revenue and no verified live consumer bookings. First gate: 20 confirmed bookings, 10 completed services, real unsponsored fees and repeat paid use.</w:t>
      </w:r>
    </w:p>
    <w:p>
      <w:r>
        <w:rPr>
          <w:b w:val="0"/>
        </w:rPr>
      </w:r>
      <w:r>
        <w:rPr>
          <w:b/>
        </w:rPr>
        <w:t>Proposed financing.</w:t>
      </w:r>
      <w:r>
        <w:rPr>
          <w:b w:val="0"/>
        </w:rPr>
        <w:t xml:space="preserve"> $2m pre-seed / 18 months: 55% engineering, 20% distribution, 15% reliability/operations, 10% reserve. Target two connectors, three repeatable local pockets and 10k monthly transacting consumers; targets, not commitments. No financing terms assumed.</w:t>
      </w:r>
    </w:p>
    <w:p>
      <w:r>
        <w:rPr>
          <w:b/>
        </w:rPr>
        <w:t xml:space="preserve">Doug Butdorf · Founder · </w:t>
      </w:r>
      <w:hyperlink r:id="rId10">
        <w:r>
          <w:rPr>
            <w:color w:val="354B31"/>
            <w:u w:val="single"/>
          </w:rPr>
          <w:t>Talk to Doug about investing</w:t>
        </w:r>
      </w:hyperlink>
    </w:p>
    <w:p>
      <w:hyperlink r:id="rId11">
        <w:r>
          <w:rPr>
            <w:color w:val="354B31"/>
            <w:u w:val="single"/>
          </w:rPr>
          <w:t>Lando · AI Chief of Staff · lando@outbranch.net</w:t>
        </w:r>
      </w:hyperlink>
    </w:p>
    <w:p>
      <w:r>
        <w:rPr>
          <w:b w:val="0"/>
        </w:rPr>
        <w:t>Sources: Square, Cal.com, Stripe. Full evidence and assumptions in the companion business plan.</w:t>
      </w:r>
    </w:p>
    <w:sectPr w:rsidR="00FC693F" w:rsidRPr="0006063C" w:rsidSect="00034616">
      <w:headerReference w:type="default" r:id="rId9"/>
      <w:footerReference w:type="default" r:id="rId12"/>
      <w:pgSz w:w="12240" w:h="15840"/>
      <w:pgMar w:top="720" w:right="936" w:bottom="648"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6"/>
      </w:rPr>
      <w:t>PUBLIC DRAFT  /  07 SEP 2026                     deck.stackbroker.xyz</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sz w:val="18"/>
      </w:rPr>
      <w:t>▰  ▰  ▰     S T A C K B R O K E 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45" w:lineRule="auto"/>
    </w:pPr>
    <w:rPr>
      <w:rFonts w:ascii="Calibri" w:hAnsi="Calibri"/>
      <w:color w:val="10181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00" w:line="245" w:lineRule="auto"/>
    </w:pPr>
    <w:rPr>
      <w:rFonts w:ascii="Calibri" w:hAnsi="Calibri"/>
      <w:color w:val="101813"/>
      <w:sz w:val="2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yperlink" Target="https://outbranch.net/#contact" TargetMode="External"/><Relationship Id="rId11" Type="http://schemas.openxmlformats.org/officeDocument/2006/relationships/hyperlink" Target="mailto:lando@outbranch.net" TargetMode="External"/><Relationship Id="rId1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